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D29" w:rsidRPr="00BC5316" w:rsidRDefault="00707D29" w:rsidP="00BC5316">
      <w:pPr>
        <w:jc w:val="both"/>
        <w:rPr>
          <w:rFonts w:ascii="Times New Roman" w:hAnsi="Times New Roman" w:cs="Times New Roman"/>
          <w:color w:val="FF0000"/>
          <w:sz w:val="26"/>
          <w:szCs w:val="26"/>
        </w:rPr>
      </w:pPr>
      <w:r w:rsidRPr="00BC5316">
        <w:rPr>
          <w:rFonts w:ascii="Times New Roman" w:hAnsi="Times New Roman" w:cs="Times New Roman"/>
          <w:color w:val="FF0000"/>
          <w:sz w:val="26"/>
          <w:szCs w:val="26"/>
        </w:rPr>
        <w:t>Федеральный закон "О порядке рассмотрения обращений граждан Российской Федерации" от 2 мая 2006 года №59-ФЗ</w:t>
      </w:r>
    </w:p>
    <w:p w:rsidR="00707D29" w:rsidRPr="00BC5316" w:rsidRDefault="00707D29" w:rsidP="00BC5316">
      <w:pPr>
        <w:jc w:val="both"/>
        <w:rPr>
          <w:rFonts w:ascii="Times New Roman" w:hAnsi="Times New Roman" w:cs="Times New Roman"/>
          <w:color w:val="FF0000"/>
          <w:sz w:val="26"/>
          <w:szCs w:val="26"/>
        </w:rPr>
      </w:pPr>
      <w:r w:rsidRPr="00BC5316">
        <w:rPr>
          <w:rFonts w:ascii="Times New Roman" w:hAnsi="Times New Roman" w:cs="Times New Roman"/>
          <w:color w:val="FF0000"/>
          <w:sz w:val="26"/>
          <w:szCs w:val="26"/>
        </w:rPr>
        <w:t>(в ред. Федеральных законов от 29.06.2010 № 126-ФЗ, от 27.07.2010 № 227-ФЗ, от 07.05.2013 № 80-</w:t>
      </w:r>
      <w:proofErr w:type="gramStart"/>
      <w:r w:rsidRPr="00BC5316">
        <w:rPr>
          <w:rFonts w:ascii="Times New Roman" w:hAnsi="Times New Roman" w:cs="Times New Roman"/>
          <w:color w:val="FF0000"/>
          <w:sz w:val="26"/>
          <w:szCs w:val="26"/>
        </w:rPr>
        <w:t>ФЗ,  от</w:t>
      </w:r>
      <w:proofErr w:type="gramEnd"/>
      <w:r w:rsidRPr="00BC5316">
        <w:rPr>
          <w:rFonts w:ascii="Times New Roman" w:hAnsi="Times New Roman" w:cs="Times New Roman"/>
          <w:color w:val="FF0000"/>
          <w:sz w:val="26"/>
          <w:szCs w:val="26"/>
        </w:rPr>
        <w:t xml:space="preserve"> 02.07.2013 № 182-ФЗ, от 24.11.2014 № 357-ФЗ, с изм., внесенными Постановлением Конституционного Суда РФ  от 18.07.2012 № 19-П)</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 xml:space="preserve"> </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Принят Государственной Думой 21 апреля 2006 года</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 xml:space="preserve">Одобрен Советом Федерации 26 апреля 2006 года </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Статья 1. Сфера применения настоящего Федерального закона</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(часть 4 введена Федеральным законом от 07.05.2013 N 80-ФЗ)</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 xml:space="preserve"> </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Статья 2. Право граждан на обращение</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 xml:space="preserve">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w:t>
      </w:r>
      <w:r w:rsidRPr="00BC5316">
        <w:rPr>
          <w:rFonts w:ascii="Times New Roman" w:hAnsi="Times New Roman" w:cs="Times New Roman"/>
          <w:sz w:val="26"/>
          <w:szCs w:val="26"/>
        </w:rPr>
        <w:lastRenderedPageBreak/>
        <w:t>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(часть 1 в ред. Федерального закона от 07.05.2013 N 80-ФЗ)</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3. Рассмотрение обращений граждан осуществляется бесплатно.</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 xml:space="preserve"> </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Статья 3. Правовое регулирование правоотношений, связанных с рассмотрением обращений граждан</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 xml:space="preserve"> </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Статья 4. Основные термины, используемые в настоящем Федеральном законе</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Для целей настоящего Федерального закона используются следующие основные термины:</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(в ред. Федерального закона от 27.07.2010 N 227-ФЗ)</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lastRenderedPageBreak/>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 xml:space="preserve"> </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Статья 5. Права гражданина при рассмотрении обращения</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При рассмотрении обращения государственным органом, органом местного самоуправления или должностным лицом гражданин имеет право:</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1) представлять дополнительные документы и материалы либо обращаться с просьбой об их истребовании, в том числе в электронной форме;</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(в ред. Федерального закона от 27.07.2010 N 227-ФЗ)</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5) обращаться с заявлением о прекращении рассмотрения обращения.</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 xml:space="preserve"> </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Статья 6. Гарантии безопасности гражданина в связи с его обращением</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 xml:space="preserve">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w:t>
      </w:r>
      <w:r w:rsidRPr="00BC5316">
        <w:rPr>
          <w:rFonts w:ascii="Times New Roman" w:hAnsi="Times New Roman" w:cs="Times New Roman"/>
          <w:sz w:val="26"/>
          <w:szCs w:val="26"/>
        </w:rPr>
        <w:lastRenderedPageBreak/>
        <w:t>местного самоуправления или должностному лицу, в компетенцию которых входит решение поставленных в обращении вопросов.</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 xml:space="preserve"> </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Статья 7. Требования к письменному обращению</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2. В случае необходимости в подтверждение своих доводов гражданин прилагает к письменному обращению документы и материалы либо их копии.</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(часть 3 в ред. Федерального закона от 27.07.2010 N 227-ФЗ)</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 xml:space="preserve"> </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Статья 8. Направление и регистрация письменного обращения</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Федерального закона.</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lastRenderedPageBreak/>
        <w:t>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(часть 3.1 введена Федеральным законом от 24.11.2014 N 357-ФЗ)</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 xml:space="preserve"> </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Статья 9. Обязательность принятия обращения к рассмотрению</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 xml:space="preserve">2. В случае </w:t>
      </w:r>
      <w:proofErr w:type="gramStart"/>
      <w:r w:rsidRPr="00BC5316">
        <w:rPr>
          <w:rFonts w:ascii="Times New Roman" w:hAnsi="Times New Roman" w:cs="Times New Roman"/>
          <w:sz w:val="26"/>
          <w:szCs w:val="26"/>
        </w:rPr>
        <w:t>необходимости</w:t>
      </w:r>
      <w:proofErr w:type="gramEnd"/>
      <w:r w:rsidRPr="00BC5316">
        <w:rPr>
          <w:rFonts w:ascii="Times New Roman" w:hAnsi="Times New Roman" w:cs="Times New Roman"/>
          <w:sz w:val="26"/>
          <w:szCs w:val="26"/>
        </w:rPr>
        <w:t xml:space="preserve">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 xml:space="preserve"> </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lastRenderedPageBreak/>
        <w:t>Статья 10. Рассмотрение обращения</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1. Государственный орган, орган местного самоуправления или должностное лицо:</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(в ред. Федерального закона от 27.07.2010 N 227-ФЗ)</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3) принимает меры, направленные на восстановление или защиту нарушенных прав, свобод и законных интересов гражданина;</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4.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(часть 4 в ред. Федерального закона от 27.07.2010 N 227-ФЗ)</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 xml:space="preserve"> </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Статья 11. Порядок рассмотрения отдельных обращений</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 xml:space="preserve">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w:t>
      </w:r>
      <w:r w:rsidRPr="00BC5316">
        <w:rPr>
          <w:rFonts w:ascii="Times New Roman" w:hAnsi="Times New Roman" w:cs="Times New Roman"/>
          <w:sz w:val="26"/>
          <w:szCs w:val="26"/>
        </w:rPr>
        <w:lastRenderedPageBreak/>
        <w:t>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(в ред. Федерального закона от 02.07.2013 N 182-ФЗ)</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(в ред. Федерального закона от 29.06.2010 N 126-ФЗ)</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 xml:space="preserve">4. В случае, если текст письменного обращения не поддается прочтению, ответ на обращение </w:t>
      </w:r>
      <w:proofErr w:type="gramStart"/>
      <w:r w:rsidRPr="00BC5316">
        <w:rPr>
          <w:rFonts w:ascii="Times New Roman" w:hAnsi="Times New Roman" w:cs="Times New Roman"/>
          <w:sz w:val="26"/>
          <w:szCs w:val="26"/>
        </w:rPr>
        <w:t>не дается</w:t>
      </w:r>
      <w:proofErr w:type="gramEnd"/>
      <w:r w:rsidRPr="00BC5316">
        <w:rPr>
          <w:rFonts w:ascii="Times New Roman" w:hAnsi="Times New Roman" w:cs="Times New Roman"/>
          <w:sz w:val="26"/>
          <w:szCs w:val="26"/>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(в ред. Федерального закона от 29.06.2010 N 126-ФЗ)</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(в ред. Федерального закона от 02.07.2013 N 182-ФЗ)</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 xml:space="preserve">7. В случае, если причины, по которым ответ по существу поставленных в обращении вопросов не мог быть дан, в последующем были устранены, гражданин </w:t>
      </w:r>
      <w:r w:rsidRPr="00BC5316">
        <w:rPr>
          <w:rFonts w:ascii="Times New Roman" w:hAnsi="Times New Roman" w:cs="Times New Roman"/>
          <w:sz w:val="26"/>
          <w:szCs w:val="26"/>
        </w:rPr>
        <w:lastRenderedPageBreak/>
        <w:t>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 xml:space="preserve"> </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Статья 12. Сроки рассмотрения письменного обращения</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(в ред. Федерального закона от 24.11.2014 N 357-ФЗ)</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(часть 1.1 введена Федеральным законом от 24.11.2014 N 357-ФЗ)</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 xml:space="preserve"> </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Статья 13. Личный прием граждан</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2. При личном приеме гражданин предъявляет документ, удостоверяющий его личность.</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lastRenderedPageBreak/>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 xml:space="preserve"> </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Статья 14. Контроль за соблюдением порядка рассмотрения обращений</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 xml:space="preserve"> </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Статья 15. Ответственность за нарушение настоящего Федерального закона</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 xml:space="preserve"> </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Статья 16. Возмещение причиненных убытков и взыскание понесенных расходов при рассмотрении обращений</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 xml:space="preserve"> </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Статья 17. Признание не действующими на территории Российской Федерации отдельных нормативных правовых актов Союза ССР</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Признать не действующими на территории Российской Федерации:</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lastRenderedPageBreak/>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Статья 18. Вступление в силу настоящего Федерального закона</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Настоящий Федеральный закон вступает в силу по истечении 180 дней после дня его официального опубликования.</w:t>
      </w:r>
    </w:p>
    <w:p w:rsidR="00707D29" w:rsidRPr="00BC5316" w:rsidRDefault="00707D29" w:rsidP="00BC5316">
      <w:pPr>
        <w:jc w:val="both"/>
        <w:rPr>
          <w:rFonts w:ascii="Times New Roman" w:hAnsi="Times New Roman" w:cs="Times New Roman"/>
          <w:sz w:val="26"/>
          <w:szCs w:val="26"/>
        </w:rPr>
      </w:pP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Президент Российской Федерации</w:t>
      </w:r>
      <w:r w:rsidRPr="00BC5316">
        <w:rPr>
          <w:rFonts w:ascii="Times New Roman" w:hAnsi="Times New Roman" w:cs="Times New Roman"/>
          <w:sz w:val="26"/>
          <w:szCs w:val="26"/>
        </w:rPr>
        <w:tab/>
      </w:r>
      <w:r w:rsidR="00BC5316">
        <w:rPr>
          <w:rFonts w:ascii="Times New Roman" w:hAnsi="Times New Roman" w:cs="Times New Roman"/>
          <w:sz w:val="26"/>
          <w:szCs w:val="26"/>
        </w:rPr>
        <w:t xml:space="preserve">                                                     </w:t>
      </w:r>
      <w:bookmarkStart w:id="0" w:name="_GoBack"/>
      <w:bookmarkEnd w:id="0"/>
      <w:r w:rsidRPr="00BC5316">
        <w:rPr>
          <w:rFonts w:ascii="Times New Roman" w:hAnsi="Times New Roman" w:cs="Times New Roman"/>
          <w:sz w:val="26"/>
          <w:szCs w:val="26"/>
        </w:rPr>
        <w:t>В. Путин</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 xml:space="preserve"> </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Москва, Кремль</w:t>
      </w:r>
    </w:p>
    <w:p w:rsidR="00707D29" w:rsidRPr="00BC5316" w:rsidRDefault="00707D29" w:rsidP="00BC5316">
      <w:pPr>
        <w:jc w:val="both"/>
        <w:rPr>
          <w:rFonts w:ascii="Times New Roman" w:hAnsi="Times New Roman" w:cs="Times New Roman"/>
          <w:sz w:val="26"/>
          <w:szCs w:val="26"/>
        </w:rPr>
      </w:pPr>
      <w:r w:rsidRPr="00BC5316">
        <w:rPr>
          <w:rFonts w:ascii="Times New Roman" w:hAnsi="Times New Roman" w:cs="Times New Roman"/>
          <w:sz w:val="26"/>
          <w:szCs w:val="26"/>
        </w:rPr>
        <w:t>2 мая 2006 г.</w:t>
      </w:r>
    </w:p>
    <w:p w:rsidR="009544B7" w:rsidRPr="00BC5316" w:rsidRDefault="009544B7" w:rsidP="00BC5316">
      <w:pPr>
        <w:jc w:val="both"/>
        <w:rPr>
          <w:rFonts w:ascii="Times New Roman" w:hAnsi="Times New Roman" w:cs="Times New Roman"/>
          <w:sz w:val="26"/>
          <w:szCs w:val="26"/>
        </w:rPr>
      </w:pPr>
    </w:p>
    <w:sectPr w:rsidR="009544B7" w:rsidRPr="00BC5316" w:rsidSect="00BC531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D29"/>
    <w:rsid w:val="00061973"/>
    <w:rsid w:val="000B2BC0"/>
    <w:rsid w:val="00103D98"/>
    <w:rsid w:val="002E282C"/>
    <w:rsid w:val="002E7F29"/>
    <w:rsid w:val="0045757A"/>
    <w:rsid w:val="004645D1"/>
    <w:rsid w:val="00490F31"/>
    <w:rsid w:val="004A3CB0"/>
    <w:rsid w:val="0059279A"/>
    <w:rsid w:val="006B70B8"/>
    <w:rsid w:val="00707D29"/>
    <w:rsid w:val="00714AE4"/>
    <w:rsid w:val="00727F0A"/>
    <w:rsid w:val="0090028F"/>
    <w:rsid w:val="009544B7"/>
    <w:rsid w:val="009733D7"/>
    <w:rsid w:val="009978E6"/>
    <w:rsid w:val="009B6B88"/>
    <w:rsid w:val="00B03841"/>
    <w:rsid w:val="00BC5316"/>
    <w:rsid w:val="00C20216"/>
    <w:rsid w:val="00C2509B"/>
    <w:rsid w:val="00F31F5F"/>
    <w:rsid w:val="00FD5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A9586-22BF-4BD8-A0A4-08D74A23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3530</Words>
  <Characters>20126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 Думы НГО</dc:creator>
  <cp:keywords/>
  <dc:description/>
  <cp:lastModifiedBy>Приемная Думы НГО</cp:lastModifiedBy>
  <cp:revision>2</cp:revision>
  <dcterms:created xsi:type="dcterms:W3CDTF">2017-09-19T22:36:00Z</dcterms:created>
  <dcterms:modified xsi:type="dcterms:W3CDTF">2017-09-19T23:21:00Z</dcterms:modified>
</cp:coreProperties>
</file>